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20D545" w14:textId="77777777" w:rsidR="00CD1EFA" w:rsidRPr="00EE21DC" w:rsidRDefault="00CD1EFA" w:rsidP="00CD1EFA">
      <w:pPr>
        <w:tabs>
          <w:tab w:val="center" w:pos="4680"/>
        </w:tabs>
        <w:suppressAutoHyphens/>
        <w:jc w:val="center"/>
        <w:rPr>
          <w:b/>
          <w:spacing w:val="-3"/>
          <w:kern w:val="2"/>
          <w:szCs w:val="24"/>
        </w:rPr>
      </w:pPr>
    </w:p>
    <w:p w14:paraId="1E15DD7C" w14:textId="026288CF" w:rsidR="00CD1EFA" w:rsidRPr="00DF0DA1" w:rsidRDefault="00180D8E" w:rsidP="00CD1EFA">
      <w:pPr>
        <w:rPr>
          <w:szCs w:val="24"/>
        </w:rPr>
      </w:pPr>
      <w:r>
        <w:rPr>
          <w:szCs w:val="24"/>
        </w:rPr>
        <w:t xml:space="preserve">October </w:t>
      </w:r>
      <w:r w:rsidR="000E70C0">
        <w:rPr>
          <w:szCs w:val="24"/>
        </w:rPr>
        <w:t>30</w:t>
      </w:r>
      <w:bookmarkStart w:id="0" w:name="_GoBack"/>
      <w:bookmarkEnd w:id="0"/>
      <w:r w:rsidR="00CD1EFA">
        <w:rPr>
          <w:szCs w:val="24"/>
        </w:rPr>
        <w:t>, 2025</w:t>
      </w:r>
    </w:p>
    <w:p w14:paraId="47DE9CFD" w14:textId="77777777" w:rsidR="00CD1EFA" w:rsidRPr="00DF0DA1" w:rsidRDefault="00CD1EFA" w:rsidP="00CD1EFA">
      <w:pPr>
        <w:rPr>
          <w:szCs w:val="24"/>
        </w:rPr>
      </w:pPr>
    </w:p>
    <w:p w14:paraId="42395F91" w14:textId="77777777" w:rsidR="00CD1EFA" w:rsidRPr="00DF0DA1" w:rsidRDefault="00CD1EFA" w:rsidP="00CD1EFA">
      <w:pPr>
        <w:rPr>
          <w:szCs w:val="24"/>
          <w:u w:val="single"/>
        </w:rPr>
      </w:pPr>
      <w:r w:rsidRPr="00DF0DA1">
        <w:rPr>
          <w:szCs w:val="24"/>
          <w:u w:val="single"/>
        </w:rPr>
        <w:t>Sent via email</w:t>
      </w:r>
    </w:p>
    <w:p w14:paraId="2E14065C" w14:textId="1C8FD5F7" w:rsidR="00CD1EFA" w:rsidRDefault="004E3F97" w:rsidP="00CD1EFA">
      <w:pPr>
        <w:rPr>
          <w:color w:val="222222"/>
          <w:szCs w:val="24"/>
        </w:rPr>
      </w:pPr>
      <w:r>
        <w:rPr>
          <w:color w:val="222222"/>
          <w:szCs w:val="24"/>
        </w:rPr>
        <w:t>Candice Garcia</w:t>
      </w:r>
    </w:p>
    <w:p w14:paraId="6774844B" w14:textId="5D3F8301" w:rsidR="004E3F97" w:rsidRPr="00DF0DA1" w:rsidRDefault="004E3F97" w:rsidP="00CD1EFA">
      <w:pPr>
        <w:rPr>
          <w:color w:val="222222"/>
          <w:szCs w:val="24"/>
        </w:rPr>
      </w:pPr>
      <w:r>
        <w:rPr>
          <w:color w:val="222222"/>
          <w:szCs w:val="24"/>
        </w:rPr>
        <w:t xml:space="preserve">Lucy Parsons Labs </w:t>
      </w:r>
    </w:p>
    <w:p w14:paraId="0D7912C0" w14:textId="18AAAFDC" w:rsidR="00CD1EFA" w:rsidRPr="00DF0DA1" w:rsidRDefault="00B96495" w:rsidP="00CD1EFA">
      <w:pPr>
        <w:rPr>
          <w:color w:val="222222"/>
          <w:szCs w:val="24"/>
        </w:rPr>
      </w:pPr>
      <w:hyperlink r:id="rId7" w:history="1">
        <w:r w:rsidR="004E3F97" w:rsidRPr="00C50A55">
          <w:rPr>
            <w:rStyle w:val="Hyperlink"/>
          </w:rPr>
          <w:t>195122-54077679@requests.muckrock.com</w:t>
        </w:r>
      </w:hyperlink>
      <w:r w:rsidR="004E3F97">
        <w:t xml:space="preserve"> </w:t>
      </w:r>
    </w:p>
    <w:p w14:paraId="78D0F5F6" w14:textId="77777777" w:rsidR="00CD1EFA" w:rsidRPr="00DF0DA1" w:rsidRDefault="00CD1EFA" w:rsidP="00CD1EFA">
      <w:pPr>
        <w:rPr>
          <w:szCs w:val="24"/>
        </w:rPr>
      </w:pPr>
    </w:p>
    <w:p w14:paraId="0378D0A3" w14:textId="77777777" w:rsidR="00CD1EFA" w:rsidRPr="00DF0DA1" w:rsidRDefault="00CD1EFA" w:rsidP="00CD1EFA">
      <w:pPr>
        <w:ind w:left="720" w:hanging="720"/>
        <w:rPr>
          <w:b/>
          <w:bCs/>
          <w:szCs w:val="24"/>
        </w:rPr>
      </w:pPr>
      <w:r w:rsidRPr="00DF0DA1">
        <w:rPr>
          <w:b/>
          <w:bCs/>
          <w:szCs w:val="24"/>
        </w:rPr>
        <w:t>Re:</w:t>
      </w:r>
      <w:r w:rsidRPr="00DF0DA1">
        <w:rPr>
          <w:b/>
          <w:bCs/>
          <w:szCs w:val="24"/>
        </w:rPr>
        <w:tab/>
        <w:t xml:space="preserve">Fenton Community High School Freedom of Information Act (“FOIA”) Request </w:t>
      </w:r>
    </w:p>
    <w:p w14:paraId="4CE8B0D7" w14:textId="4C814176" w:rsidR="00CD1EFA" w:rsidRPr="00DF0DA1" w:rsidRDefault="00CD1EFA" w:rsidP="00CD1EFA">
      <w:pPr>
        <w:ind w:firstLine="720"/>
        <w:rPr>
          <w:b/>
          <w:bCs/>
          <w:szCs w:val="24"/>
        </w:rPr>
      </w:pPr>
      <w:r w:rsidRPr="00DF0DA1">
        <w:rPr>
          <w:b/>
          <w:bCs/>
          <w:szCs w:val="24"/>
        </w:rPr>
        <w:t xml:space="preserve">Requestor: </w:t>
      </w:r>
      <w:r w:rsidR="00180D8E">
        <w:rPr>
          <w:b/>
          <w:bCs/>
          <w:szCs w:val="24"/>
        </w:rPr>
        <w:t>Candice Garcia, Lucy Parsons Labs</w:t>
      </w:r>
    </w:p>
    <w:p w14:paraId="15D507B8" w14:textId="312F89CD" w:rsidR="00CD1EFA" w:rsidRPr="00DF0DA1" w:rsidRDefault="00CD1EFA" w:rsidP="00CD1EFA">
      <w:pPr>
        <w:ind w:firstLine="720"/>
        <w:rPr>
          <w:b/>
          <w:bCs/>
          <w:szCs w:val="24"/>
        </w:rPr>
      </w:pPr>
      <w:r w:rsidRPr="00DF0DA1">
        <w:rPr>
          <w:b/>
          <w:bCs/>
          <w:szCs w:val="24"/>
        </w:rPr>
        <w:t xml:space="preserve">FOIA Request Dated: </w:t>
      </w:r>
      <w:r w:rsidR="00180D8E">
        <w:rPr>
          <w:b/>
          <w:bCs/>
          <w:szCs w:val="24"/>
        </w:rPr>
        <w:t>October 18, 2025</w:t>
      </w:r>
    </w:p>
    <w:p w14:paraId="2895C8A1" w14:textId="52E16BA0" w:rsidR="00CD1EFA" w:rsidRPr="00DF0DA1" w:rsidRDefault="00CD1EFA" w:rsidP="00CD1EFA">
      <w:pPr>
        <w:ind w:firstLine="720"/>
        <w:rPr>
          <w:b/>
          <w:bCs/>
          <w:szCs w:val="24"/>
        </w:rPr>
      </w:pPr>
      <w:r w:rsidRPr="00DF0DA1">
        <w:rPr>
          <w:b/>
          <w:bCs/>
          <w:szCs w:val="24"/>
        </w:rPr>
        <w:t xml:space="preserve">FOIA Request Received: </w:t>
      </w:r>
      <w:r w:rsidR="00180D8E">
        <w:rPr>
          <w:b/>
          <w:bCs/>
          <w:szCs w:val="24"/>
        </w:rPr>
        <w:t>October 20, 2025</w:t>
      </w:r>
    </w:p>
    <w:p w14:paraId="029AAAA9" w14:textId="77777777" w:rsidR="00CD1EFA" w:rsidRPr="00EE21DC" w:rsidRDefault="00CD1EFA" w:rsidP="00CD1EFA">
      <w:pPr>
        <w:jc w:val="both"/>
        <w:rPr>
          <w:szCs w:val="24"/>
        </w:rPr>
      </w:pPr>
    </w:p>
    <w:p w14:paraId="0291D4F0" w14:textId="7BFBDF28" w:rsidR="00CD1EFA" w:rsidRPr="00EE21DC" w:rsidRDefault="00CD1EFA" w:rsidP="00CD1EFA">
      <w:pPr>
        <w:jc w:val="both"/>
        <w:rPr>
          <w:szCs w:val="24"/>
        </w:rPr>
      </w:pPr>
      <w:r w:rsidRPr="00EE21DC">
        <w:rPr>
          <w:szCs w:val="24"/>
        </w:rPr>
        <w:t>Dear</w:t>
      </w:r>
      <w:r>
        <w:rPr>
          <w:szCs w:val="24"/>
        </w:rPr>
        <w:t xml:space="preserve"> Ms. </w:t>
      </w:r>
      <w:r w:rsidR="00180D8E">
        <w:rPr>
          <w:szCs w:val="24"/>
        </w:rPr>
        <w:t>Garcia</w:t>
      </w:r>
      <w:r>
        <w:rPr>
          <w:szCs w:val="24"/>
        </w:rPr>
        <w:t>:</w:t>
      </w:r>
    </w:p>
    <w:p w14:paraId="2FA2AFDE" w14:textId="77777777" w:rsidR="00CD1EFA" w:rsidRDefault="00CD1EFA" w:rsidP="00CD1EFA">
      <w:pPr>
        <w:jc w:val="both"/>
        <w:rPr>
          <w:szCs w:val="24"/>
        </w:rPr>
      </w:pPr>
    </w:p>
    <w:p w14:paraId="0A5AD65D" w14:textId="77777777" w:rsidR="00CD1EFA" w:rsidRPr="00DF0DA1" w:rsidRDefault="00CD1EFA" w:rsidP="00CD1EFA">
      <w:pPr>
        <w:ind w:firstLine="720"/>
        <w:rPr>
          <w:szCs w:val="24"/>
        </w:rPr>
      </w:pPr>
      <w:r w:rsidRPr="00DF0DA1">
        <w:rPr>
          <w:szCs w:val="24"/>
        </w:rPr>
        <w:t xml:space="preserve">Thank you for writing to the Fenton Community High School District 100 (“School District”) with your request for information pursuant to the Illinois Freedom of Information Act, 5 ILCS 1401/1 et seq. (“FOIA”). </w:t>
      </w:r>
    </w:p>
    <w:p w14:paraId="41343179" w14:textId="77777777" w:rsidR="00CD1EFA" w:rsidRDefault="00CD1EFA" w:rsidP="00CD1EFA">
      <w:pPr>
        <w:ind w:firstLine="720"/>
        <w:jc w:val="both"/>
        <w:rPr>
          <w:szCs w:val="24"/>
        </w:rPr>
      </w:pPr>
    </w:p>
    <w:p w14:paraId="2E844CEF" w14:textId="77777777" w:rsidR="00CD1EFA" w:rsidRDefault="00CD1EFA" w:rsidP="00CD1EFA">
      <w:pPr>
        <w:ind w:firstLine="720"/>
        <w:jc w:val="both"/>
        <w:rPr>
          <w:szCs w:val="24"/>
        </w:rPr>
      </w:pPr>
      <w:r>
        <w:rPr>
          <w:szCs w:val="24"/>
        </w:rPr>
        <w:t xml:space="preserve">On October 20, 2025, the School District received your request for records under the Freedom of Information Act dated October 18, 2025 (“FOIA Request”). Your FOIA Request </w:t>
      </w:r>
      <w:r w:rsidRPr="008D3E9F">
        <w:rPr>
          <w:szCs w:val="24"/>
        </w:rPr>
        <w:t>asked for</w:t>
      </w:r>
      <w:r>
        <w:rPr>
          <w:szCs w:val="24"/>
        </w:rPr>
        <w:t>:</w:t>
      </w:r>
    </w:p>
    <w:p w14:paraId="013433F6" w14:textId="0D30363B" w:rsidR="00CD1EFA" w:rsidRPr="00CD1EFA" w:rsidRDefault="00CD1EFA" w:rsidP="00CD1EFA">
      <w:pPr>
        <w:ind w:left="720"/>
        <w:jc w:val="both"/>
        <w:rPr>
          <w:szCs w:val="24"/>
        </w:rPr>
      </w:pPr>
      <w:r w:rsidRPr="00CD1EFA">
        <w:rPr>
          <w:szCs w:val="24"/>
        </w:rPr>
        <w:t>All documents pertaining to Flock Safety (</w:t>
      </w:r>
      <w:hyperlink r:id="rId8" w:tgtFrame="_blank" w:tooltip="Protected by Check Point: https://www.flocksafety.com" w:history="1">
        <w:r w:rsidRPr="00CD1EFA">
          <w:rPr>
            <w:rStyle w:val="Hyperlink"/>
            <w:szCs w:val="24"/>
          </w:rPr>
          <w:t>https://www.flocksafety.com</w:t>
        </w:r>
      </w:hyperlink>
      <w:r w:rsidRPr="00CD1EFA">
        <w:rPr>
          <w:szCs w:val="24"/>
        </w:rPr>
        <w:t>) license-plate-reader hardware and/or software. Documents being requested here should include - but are not limited to - the following:</w:t>
      </w:r>
    </w:p>
    <w:p w14:paraId="63C169F9" w14:textId="77777777"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Invoices, receipts, and/or requests for the purchase of any Flock Safety product/service</w:t>
      </w:r>
    </w:p>
    <w:p w14:paraId="12B4C1E2" w14:textId="77777777"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MOUs with Flock Safety</w:t>
      </w:r>
    </w:p>
    <w:p w14:paraId="7B9E93C8" w14:textId="77777777"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Brochures or product/service specifications regarding Flock Safety</w:t>
      </w:r>
    </w:p>
    <w:p w14:paraId="69E31412" w14:textId="77777777"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Privacy and/or retention policies regarding Flock Safety product/service</w:t>
      </w:r>
    </w:p>
    <w:p w14:paraId="2A720937" w14:textId="77777777"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 xml:space="preserve"> Manuals regarding Flock Safety product/services</w:t>
      </w:r>
    </w:p>
    <w:p w14:paraId="1FC5E98D" w14:textId="77777777"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Briefings &amp; presentations mentioning Flock Safety product/services</w:t>
      </w:r>
    </w:p>
    <w:p w14:paraId="5495BAF3" w14:textId="0ED5E1D1" w:rsidR="00CD1EFA" w:rsidRPr="00CD1EFA" w:rsidRDefault="00CD1EFA" w:rsidP="00CD1EFA">
      <w:pPr>
        <w:pStyle w:val="NormalWeb"/>
        <w:numPr>
          <w:ilvl w:val="0"/>
          <w:numId w:val="1"/>
        </w:numPr>
        <w:rPr>
          <w:rFonts w:ascii="Times New Roman" w:hAnsi="Times New Roman" w:cs="Times New Roman"/>
        </w:rPr>
      </w:pPr>
      <w:r w:rsidRPr="00CD1EFA">
        <w:rPr>
          <w:rFonts w:ascii="Times New Roman" w:hAnsi="Times New Roman" w:cs="Times New Roman"/>
        </w:rPr>
        <w:t>Locations of Flock camera installations throughout Fenton High School and Parking Lot</w:t>
      </w:r>
    </w:p>
    <w:p w14:paraId="0F31D7FE" w14:textId="0D42B714" w:rsidR="00CD1EFA" w:rsidRDefault="00CD1EFA" w:rsidP="00CD1EFA">
      <w:pPr>
        <w:pStyle w:val="BodyText"/>
        <w:spacing w:after="0"/>
        <w:jc w:val="both"/>
        <w:rPr>
          <w:b/>
          <w:szCs w:val="24"/>
          <w:u w:val="single"/>
        </w:rPr>
      </w:pPr>
      <w:r>
        <w:rPr>
          <w:b/>
          <w:szCs w:val="24"/>
          <w:u w:val="single"/>
        </w:rPr>
        <w:t>School District’s Response</w:t>
      </w:r>
    </w:p>
    <w:p w14:paraId="0637EB57" w14:textId="77777777" w:rsidR="00CD1EFA" w:rsidRDefault="00CD1EFA" w:rsidP="00CD1EFA">
      <w:pPr>
        <w:pStyle w:val="BodyText"/>
        <w:spacing w:after="0"/>
        <w:jc w:val="both"/>
        <w:rPr>
          <w:b/>
          <w:szCs w:val="24"/>
          <w:u w:val="single"/>
        </w:rPr>
      </w:pPr>
    </w:p>
    <w:p w14:paraId="2A4C27B2" w14:textId="77777777" w:rsidR="00CD1EFA" w:rsidRPr="00452725" w:rsidRDefault="00CD1EFA" w:rsidP="00CD1EFA">
      <w:pPr>
        <w:pStyle w:val="BodyText"/>
        <w:spacing w:after="0"/>
        <w:jc w:val="both"/>
        <w:rPr>
          <w:szCs w:val="24"/>
          <w:u w:val="single"/>
        </w:rPr>
      </w:pPr>
      <w:r>
        <w:rPr>
          <w:szCs w:val="24"/>
          <w:u w:val="single"/>
        </w:rPr>
        <w:t>Voluminous</w:t>
      </w:r>
    </w:p>
    <w:p w14:paraId="469BAF41" w14:textId="77777777" w:rsidR="00CD1EFA" w:rsidRDefault="00CD1EFA" w:rsidP="00CD1EFA">
      <w:pPr>
        <w:pStyle w:val="BodyText"/>
        <w:spacing w:after="0"/>
        <w:jc w:val="both"/>
        <w:rPr>
          <w:szCs w:val="24"/>
        </w:rPr>
      </w:pPr>
    </w:p>
    <w:p w14:paraId="5D9F376A" w14:textId="6B6014A7" w:rsidR="00CD1EFA" w:rsidRPr="004259B4" w:rsidRDefault="00CD1EFA" w:rsidP="00CD1EFA">
      <w:pPr>
        <w:pStyle w:val="BodyText"/>
        <w:spacing w:after="0"/>
        <w:jc w:val="both"/>
        <w:rPr>
          <w:szCs w:val="24"/>
        </w:rPr>
      </w:pPr>
      <w:r w:rsidRPr="004259B4">
        <w:rPr>
          <w:szCs w:val="24"/>
        </w:rPr>
        <w:t xml:space="preserve">You are hereby notified that the </w:t>
      </w:r>
      <w:r>
        <w:rPr>
          <w:szCs w:val="24"/>
        </w:rPr>
        <w:t>School District</w:t>
      </w:r>
      <w:r w:rsidRPr="004259B4">
        <w:rPr>
          <w:szCs w:val="24"/>
        </w:rPr>
        <w:t xml:space="preserve"> has determined that your FOIA Request is voluminous in nature as defined in Section 2(h) of the Illinois Freedom of Information Act in that your FOIA Request asks for more than five (5) categories of records</w:t>
      </w:r>
      <w:r>
        <w:rPr>
          <w:szCs w:val="24"/>
        </w:rPr>
        <w:t xml:space="preserve"> and/or requires the compilation of more than 500 pages of records</w:t>
      </w:r>
      <w:r w:rsidRPr="004259B4">
        <w:rPr>
          <w:szCs w:val="24"/>
        </w:rPr>
        <w:t xml:space="preserve">. 5 ILCS 140/2(h). Specifically, your FOIA Request asks for </w:t>
      </w:r>
      <w:r>
        <w:rPr>
          <w:b/>
          <w:bCs/>
          <w:szCs w:val="24"/>
        </w:rPr>
        <w:t xml:space="preserve">seven (7) categories of records. </w:t>
      </w:r>
    </w:p>
    <w:p w14:paraId="401DBF70" w14:textId="77777777" w:rsidR="00CD1EFA" w:rsidRPr="004259B4" w:rsidRDefault="00CD1EFA" w:rsidP="00CD1EFA">
      <w:pPr>
        <w:pStyle w:val="BodyText"/>
        <w:spacing w:after="0"/>
        <w:jc w:val="both"/>
        <w:rPr>
          <w:szCs w:val="24"/>
        </w:rPr>
      </w:pPr>
    </w:p>
    <w:p w14:paraId="50461509" w14:textId="25753504" w:rsidR="00CD1EFA" w:rsidRPr="00EE21DC" w:rsidRDefault="00CD1EFA" w:rsidP="00CD1EFA">
      <w:pPr>
        <w:pStyle w:val="BodyText"/>
        <w:spacing w:after="0"/>
        <w:jc w:val="both"/>
        <w:rPr>
          <w:color w:val="000000"/>
          <w:szCs w:val="24"/>
        </w:rPr>
      </w:pPr>
      <w:r w:rsidRPr="004259B4">
        <w:rPr>
          <w:szCs w:val="24"/>
        </w:rPr>
        <w:lastRenderedPageBreak/>
        <w:t xml:space="preserve">You are hereby notified that you have ten (10) business days (until </w:t>
      </w:r>
      <w:r>
        <w:rPr>
          <w:b/>
          <w:bCs/>
          <w:szCs w:val="24"/>
        </w:rPr>
        <w:t>November 10, 2025</w:t>
      </w:r>
      <w:r w:rsidRPr="004259B4">
        <w:rPr>
          <w:szCs w:val="24"/>
        </w:rPr>
        <w:t xml:space="preserve">) to amend and/or narrow your request. If we do not receive an amended request within this timeframe, or if the request continues to be voluminous, the </w:t>
      </w:r>
      <w:r>
        <w:rPr>
          <w:szCs w:val="24"/>
        </w:rPr>
        <w:t>School District</w:t>
      </w:r>
      <w:r w:rsidRPr="004259B4">
        <w:rPr>
          <w:szCs w:val="24"/>
        </w:rPr>
        <w:t xml:space="preserve"> will respond to your request and assess any fees permitted under Section 6 of the Freedom of Information Act. Once an amended request has been received, </w:t>
      </w:r>
      <w:r w:rsidRPr="004259B4">
        <w:rPr>
          <w:color w:val="000000"/>
          <w:szCs w:val="24"/>
        </w:rPr>
        <w:t xml:space="preserve">the </w:t>
      </w:r>
      <w:r>
        <w:rPr>
          <w:color w:val="000000"/>
          <w:szCs w:val="24"/>
        </w:rPr>
        <w:t>School District</w:t>
      </w:r>
      <w:r w:rsidRPr="004259B4">
        <w:rPr>
          <w:color w:val="000000"/>
          <w:szCs w:val="24"/>
        </w:rPr>
        <w:t xml:space="preserve"> will respond within five (5) business days after receipt of the reply or, if no reply is received, the </w:t>
      </w:r>
      <w:r>
        <w:rPr>
          <w:color w:val="000000"/>
          <w:szCs w:val="24"/>
        </w:rPr>
        <w:t>School District</w:t>
      </w:r>
      <w:r w:rsidRPr="004259B4">
        <w:rPr>
          <w:color w:val="000000"/>
          <w:szCs w:val="24"/>
        </w:rPr>
        <w:t xml:space="preserve"> will respond five (5) business days from </w:t>
      </w:r>
      <w:r>
        <w:rPr>
          <w:b/>
          <w:bCs/>
          <w:szCs w:val="24"/>
        </w:rPr>
        <w:t xml:space="preserve">November 10, 2025 </w:t>
      </w:r>
      <w:r w:rsidRPr="0070685B">
        <w:rPr>
          <w:b/>
          <w:bCs/>
          <w:color w:val="000000"/>
          <w:szCs w:val="24"/>
        </w:rPr>
        <w:t>—</w:t>
      </w:r>
      <w:r w:rsidRPr="004259B4">
        <w:rPr>
          <w:color w:val="000000"/>
          <w:szCs w:val="24"/>
        </w:rPr>
        <w:t xml:space="preserve">the last day to amend the request. The </w:t>
      </w:r>
      <w:r>
        <w:rPr>
          <w:color w:val="000000"/>
          <w:szCs w:val="24"/>
        </w:rPr>
        <w:t>School District</w:t>
      </w:r>
      <w:r w:rsidRPr="004259B4">
        <w:rPr>
          <w:color w:val="000000"/>
          <w:szCs w:val="24"/>
        </w:rPr>
        <w:t xml:space="preserve"> may also extend its time to respond to the Request up to an additional ten (10) business days. If the responsive records</w:t>
      </w:r>
      <w:r w:rsidRPr="00EE21DC">
        <w:rPr>
          <w:color w:val="000000"/>
          <w:szCs w:val="24"/>
        </w:rPr>
        <w:t xml:space="preserve"> are not accepted or collected, the </w:t>
      </w:r>
      <w:r>
        <w:rPr>
          <w:color w:val="000000"/>
          <w:szCs w:val="24"/>
        </w:rPr>
        <w:t xml:space="preserve">School District </w:t>
      </w:r>
      <w:r w:rsidRPr="00EE21DC">
        <w:rPr>
          <w:color w:val="000000"/>
          <w:szCs w:val="24"/>
        </w:rPr>
        <w:t xml:space="preserve">may still charge fees for its response pursuant to Section 6 of FOIA, and failure to pay will be considered a debt due and owing to the </w:t>
      </w:r>
      <w:r>
        <w:rPr>
          <w:color w:val="000000"/>
          <w:szCs w:val="24"/>
        </w:rPr>
        <w:t>School District</w:t>
      </w:r>
      <w:r w:rsidRPr="00EE21DC">
        <w:rPr>
          <w:color w:val="000000"/>
          <w:szCs w:val="24"/>
        </w:rPr>
        <w:t>, which may be collected in accordance with applicable law.</w:t>
      </w:r>
    </w:p>
    <w:p w14:paraId="2BA1E2F2" w14:textId="77777777" w:rsidR="00CD1EFA" w:rsidRPr="00EE21DC" w:rsidRDefault="00CD1EFA" w:rsidP="00CD1EFA">
      <w:pPr>
        <w:pStyle w:val="BodyText"/>
        <w:spacing w:after="0"/>
        <w:jc w:val="both"/>
        <w:rPr>
          <w:color w:val="000000"/>
          <w:szCs w:val="24"/>
        </w:rPr>
      </w:pPr>
    </w:p>
    <w:p w14:paraId="7C8C2E3C" w14:textId="350F1DC8" w:rsidR="00CD1EFA" w:rsidRPr="00EE21DC" w:rsidRDefault="00CD1EFA" w:rsidP="00CD1EFA">
      <w:pPr>
        <w:pStyle w:val="BodyText"/>
        <w:spacing w:after="0"/>
        <w:jc w:val="both"/>
        <w:rPr>
          <w:color w:val="000000"/>
          <w:szCs w:val="24"/>
        </w:rPr>
      </w:pPr>
      <w:r w:rsidRPr="00EE21DC">
        <w:rPr>
          <w:color w:val="000000"/>
          <w:szCs w:val="24"/>
        </w:rPr>
        <w:t xml:space="preserve">Per Section 6 of FOIA, the </w:t>
      </w:r>
      <w:r>
        <w:rPr>
          <w:color w:val="000000"/>
          <w:szCs w:val="24"/>
        </w:rPr>
        <w:t>School District</w:t>
      </w:r>
      <w:r w:rsidRPr="00EE21DC">
        <w:rPr>
          <w:color w:val="000000"/>
          <w:szCs w:val="24"/>
        </w:rPr>
        <w:t xml:space="preserve"> may charge for the time spent by staff searching for and retrieving a requested record or examining the record for necessary redactions if that time exceeds eight (8) hours. Further, it can charge for the electronic production of PDF’s based on the fee schedule below:</w:t>
      </w:r>
    </w:p>
    <w:p w14:paraId="28D6A936" w14:textId="77777777" w:rsidR="00CD1EFA" w:rsidRPr="00EE21DC" w:rsidRDefault="00CD1EFA" w:rsidP="00CD1EFA">
      <w:pPr>
        <w:pStyle w:val="BodyText"/>
        <w:spacing w:after="0"/>
        <w:jc w:val="both"/>
        <w:rPr>
          <w:color w:val="000000"/>
          <w:szCs w:val="24"/>
        </w:rPr>
      </w:pPr>
      <w:r w:rsidRPr="00EE21DC">
        <w:rPr>
          <w:color w:val="000000"/>
          <w:szCs w:val="24"/>
        </w:rPr>
        <w:tab/>
      </w:r>
    </w:p>
    <w:tbl>
      <w:tblPr>
        <w:tblW w:w="0" w:type="auto"/>
        <w:tblInd w:w="2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0"/>
        <w:gridCol w:w="990"/>
      </w:tblGrid>
      <w:tr w:rsidR="00CD1EFA" w:rsidRPr="00EE21DC" w14:paraId="4E580C4B" w14:textId="77777777" w:rsidTr="00191ABE">
        <w:tc>
          <w:tcPr>
            <w:tcW w:w="2160" w:type="dxa"/>
          </w:tcPr>
          <w:p w14:paraId="4E26485F" w14:textId="77777777" w:rsidR="00CD1EFA" w:rsidRPr="00EE21DC" w:rsidRDefault="00CD1EFA" w:rsidP="00191ABE">
            <w:pPr>
              <w:pStyle w:val="BodyText"/>
              <w:spacing w:after="0"/>
              <w:jc w:val="both"/>
              <w:rPr>
                <w:color w:val="000000"/>
                <w:szCs w:val="24"/>
              </w:rPr>
            </w:pPr>
            <w:r w:rsidRPr="00EE21DC">
              <w:rPr>
                <w:color w:val="000000"/>
                <w:szCs w:val="24"/>
              </w:rPr>
              <w:t>Up to 80 MB</w:t>
            </w:r>
          </w:p>
        </w:tc>
        <w:tc>
          <w:tcPr>
            <w:tcW w:w="990" w:type="dxa"/>
          </w:tcPr>
          <w:p w14:paraId="2DB3307E" w14:textId="77777777" w:rsidR="00CD1EFA" w:rsidRPr="00EE21DC" w:rsidRDefault="00CD1EFA" w:rsidP="00191ABE">
            <w:pPr>
              <w:pStyle w:val="BodyText"/>
              <w:spacing w:after="0"/>
              <w:jc w:val="both"/>
              <w:rPr>
                <w:color w:val="000000"/>
                <w:szCs w:val="24"/>
              </w:rPr>
            </w:pPr>
            <w:r w:rsidRPr="00EE21DC">
              <w:rPr>
                <w:color w:val="000000"/>
                <w:szCs w:val="24"/>
              </w:rPr>
              <w:t>$20</w:t>
            </w:r>
          </w:p>
        </w:tc>
      </w:tr>
      <w:tr w:rsidR="00CD1EFA" w:rsidRPr="00EE21DC" w14:paraId="2BC4C8E9" w14:textId="77777777" w:rsidTr="00191ABE">
        <w:tc>
          <w:tcPr>
            <w:tcW w:w="2160" w:type="dxa"/>
          </w:tcPr>
          <w:p w14:paraId="22DC6DC4" w14:textId="77777777" w:rsidR="00CD1EFA" w:rsidRPr="00EE21DC" w:rsidRDefault="00CD1EFA" w:rsidP="00191ABE">
            <w:pPr>
              <w:pStyle w:val="BodyText"/>
              <w:spacing w:after="0"/>
              <w:jc w:val="both"/>
              <w:rPr>
                <w:color w:val="000000"/>
                <w:szCs w:val="24"/>
              </w:rPr>
            </w:pPr>
            <w:r w:rsidRPr="00EE21DC">
              <w:rPr>
                <w:color w:val="000000"/>
                <w:szCs w:val="24"/>
              </w:rPr>
              <w:t>80 MB – 160 MB</w:t>
            </w:r>
          </w:p>
        </w:tc>
        <w:tc>
          <w:tcPr>
            <w:tcW w:w="990" w:type="dxa"/>
          </w:tcPr>
          <w:p w14:paraId="7D6BCDD8" w14:textId="77777777" w:rsidR="00CD1EFA" w:rsidRPr="00EE21DC" w:rsidRDefault="00CD1EFA" w:rsidP="00191ABE">
            <w:pPr>
              <w:pStyle w:val="BodyText"/>
              <w:spacing w:after="0"/>
              <w:jc w:val="both"/>
              <w:rPr>
                <w:color w:val="000000"/>
                <w:szCs w:val="24"/>
              </w:rPr>
            </w:pPr>
            <w:r w:rsidRPr="00EE21DC">
              <w:rPr>
                <w:color w:val="000000"/>
                <w:szCs w:val="24"/>
              </w:rPr>
              <w:t>$40</w:t>
            </w:r>
          </w:p>
        </w:tc>
      </w:tr>
      <w:tr w:rsidR="00CD1EFA" w:rsidRPr="00EE21DC" w14:paraId="1F1AEDCC" w14:textId="77777777" w:rsidTr="00191ABE">
        <w:tc>
          <w:tcPr>
            <w:tcW w:w="2160" w:type="dxa"/>
          </w:tcPr>
          <w:p w14:paraId="375C6CC9" w14:textId="77777777" w:rsidR="00CD1EFA" w:rsidRPr="00EE21DC" w:rsidRDefault="00CD1EFA" w:rsidP="00191ABE">
            <w:pPr>
              <w:pStyle w:val="BodyText"/>
              <w:spacing w:after="0"/>
              <w:jc w:val="both"/>
              <w:rPr>
                <w:color w:val="000000"/>
                <w:szCs w:val="24"/>
              </w:rPr>
            </w:pPr>
            <w:r w:rsidRPr="00EE21DC">
              <w:rPr>
                <w:color w:val="000000"/>
                <w:szCs w:val="24"/>
              </w:rPr>
              <w:t>160 MB and over</w:t>
            </w:r>
          </w:p>
        </w:tc>
        <w:tc>
          <w:tcPr>
            <w:tcW w:w="990" w:type="dxa"/>
          </w:tcPr>
          <w:p w14:paraId="6FC62233" w14:textId="77777777" w:rsidR="00CD1EFA" w:rsidRPr="00EE21DC" w:rsidRDefault="00CD1EFA" w:rsidP="00191ABE">
            <w:pPr>
              <w:pStyle w:val="BodyText"/>
              <w:spacing w:after="0"/>
              <w:jc w:val="both"/>
              <w:rPr>
                <w:color w:val="000000"/>
                <w:szCs w:val="24"/>
              </w:rPr>
            </w:pPr>
            <w:r w:rsidRPr="00EE21DC">
              <w:rPr>
                <w:color w:val="000000"/>
                <w:szCs w:val="24"/>
              </w:rPr>
              <w:t>$100</w:t>
            </w:r>
          </w:p>
        </w:tc>
      </w:tr>
    </w:tbl>
    <w:p w14:paraId="67217AE8" w14:textId="77777777" w:rsidR="00CD1EFA" w:rsidRPr="00EE21DC" w:rsidRDefault="00CD1EFA" w:rsidP="00CD1EFA">
      <w:pPr>
        <w:pStyle w:val="BodyText"/>
        <w:spacing w:after="0"/>
        <w:jc w:val="both"/>
        <w:rPr>
          <w:color w:val="000000"/>
          <w:szCs w:val="24"/>
        </w:rPr>
      </w:pPr>
    </w:p>
    <w:p w14:paraId="0A750148" w14:textId="77777777" w:rsidR="00CD1EFA" w:rsidRDefault="00CD1EFA" w:rsidP="00CD1EFA">
      <w:pPr>
        <w:pStyle w:val="BodyText"/>
        <w:spacing w:after="0"/>
        <w:jc w:val="both"/>
        <w:rPr>
          <w:color w:val="000000"/>
          <w:szCs w:val="24"/>
        </w:rPr>
      </w:pPr>
    </w:p>
    <w:p w14:paraId="45BEE951" w14:textId="77777777" w:rsidR="00CD1EFA" w:rsidRPr="00452725" w:rsidRDefault="00CD1EFA" w:rsidP="00CD1EFA">
      <w:pPr>
        <w:pStyle w:val="BodyText"/>
        <w:spacing w:after="0"/>
        <w:jc w:val="both"/>
        <w:rPr>
          <w:color w:val="000000"/>
          <w:szCs w:val="24"/>
          <w:u w:val="single"/>
        </w:rPr>
      </w:pPr>
      <w:r>
        <w:rPr>
          <w:color w:val="000000"/>
          <w:szCs w:val="24"/>
          <w:u w:val="single"/>
        </w:rPr>
        <w:t>Considerations for Narrowing</w:t>
      </w:r>
    </w:p>
    <w:p w14:paraId="4809B12D" w14:textId="77777777" w:rsidR="00CD1EFA" w:rsidRDefault="00CD1EFA" w:rsidP="00CD1EFA">
      <w:pPr>
        <w:pStyle w:val="BodyText"/>
        <w:spacing w:after="0"/>
        <w:jc w:val="both"/>
        <w:rPr>
          <w:szCs w:val="24"/>
        </w:rPr>
      </w:pPr>
    </w:p>
    <w:p w14:paraId="36DEE2A4" w14:textId="5B6D913D" w:rsidR="00CD1EFA" w:rsidRDefault="00CD1EFA" w:rsidP="00CD1EFA">
      <w:pPr>
        <w:pStyle w:val="BodyText"/>
        <w:spacing w:after="0"/>
        <w:jc w:val="both"/>
        <w:rPr>
          <w:szCs w:val="24"/>
        </w:rPr>
      </w:pPr>
      <w:r>
        <w:rPr>
          <w:szCs w:val="24"/>
        </w:rPr>
        <w:t xml:space="preserve">As you consider narrowing, it is important to note the following about your requests. </w:t>
      </w:r>
      <w:r w:rsidR="004E3F97">
        <w:rPr>
          <w:szCs w:val="24"/>
        </w:rPr>
        <w:t xml:space="preserve">First, the request for “all” documents is broad and can create an unduly burdensome FOIA response. The categories provide give guidance, but the use of “all” leaves the request open to interpretation and the School District should not have to guess what is responsive and what is not. Furthermore, the request for “briefings and presentations mentioning Flock Safety products/services” is vague because “mentioning” can mean the entire presentation is about Flock Safety, or one line in a presentation mentions Flock Safety. Again, this requires the School District to guess as to what is responsive to the request. </w:t>
      </w:r>
    </w:p>
    <w:p w14:paraId="72DDD2F4" w14:textId="77777777" w:rsidR="00CD1EFA" w:rsidRDefault="00CD1EFA" w:rsidP="00CD1EFA">
      <w:pPr>
        <w:pStyle w:val="BodyText"/>
        <w:spacing w:after="0"/>
        <w:jc w:val="both"/>
        <w:rPr>
          <w:szCs w:val="24"/>
        </w:rPr>
      </w:pPr>
    </w:p>
    <w:p w14:paraId="42F2E27C" w14:textId="77777777" w:rsidR="00CD1EFA" w:rsidRDefault="00CD1EFA" w:rsidP="00CD1EFA">
      <w:pPr>
        <w:pStyle w:val="BodyText"/>
        <w:spacing w:after="0"/>
        <w:jc w:val="both"/>
        <w:rPr>
          <w:b/>
          <w:szCs w:val="24"/>
          <w:u w:val="single"/>
        </w:rPr>
      </w:pPr>
      <w:r>
        <w:rPr>
          <w:b/>
          <w:szCs w:val="24"/>
          <w:u w:val="single"/>
        </w:rPr>
        <w:t>Appeal</w:t>
      </w:r>
    </w:p>
    <w:p w14:paraId="7AE79505" w14:textId="77777777" w:rsidR="00CD1EFA" w:rsidRDefault="00CD1EFA" w:rsidP="00CD1EFA">
      <w:pPr>
        <w:pStyle w:val="BodyText"/>
        <w:spacing w:after="0"/>
        <w:jc w:val="both"/>
        <w:rPr>
          <w:b/>
          <w:szCs w:val="24"/>
          <w:u w:val="single"/>
        </w:rPr>
      </w:pPr>
    </w:p>
    <w:p w14:paraId="214CE930" w14:textId="77777777" w:rsidR="00CD1EFA" w:rsidRPr="00577C72" w:rsidRDefault="00CD1EFA" w:rsidP="00CD1EFA">
      <w:pPr>
        <w:jc w:val="both"/>
        <w:rPr>
          <w:szCs w:val="24"/>
        </w:rPr>
      </w:pPr>
      <w:r w:rsidRPr="00577C72">
        <w:rPr>
          <w:szCs w:val="24"/>
        </w:rPr>
        <w:t>You h</w:t>
      </w:r>
      <w:r>
        <w:rPr>
          <w:szCs w:val="24"/>
        </w:rPr>
        <w:t>ave a right to have the voluminous request determination</w:t>
      </w:r>
      <w:r w:rsidRPr="00577C72">
        <w:rPr>
          <w:szCs w:val="24"/>
        </w:rPr>
        <w:t xml:space="preserve"> reviewed by the Public Access Counselor (PAC) at the Office of the Illinois Attorney General. 5 ILCS 140/9.5(a). You can file your Request for Review with the PAC by writing to: </w:t>
      </w:r>
    </w:p>
    <w:p w14:paraId="1E9AA065" w14:textId="77777777" w:rsidR="00CD1EFA" w:rsidRPr="00577C72" w:rsidRDefault="00CD1EFA" w:rsidP="00CD1EFA">
      <w:pPr>
        <w:jc w:val="both"/>
        <w:rPr>
          <w:szCs w:val="24"/>
        </w:rPr>
      </w:pPr>
    </w:p>
    <w:p w14:paraId="2D0800E2" w14:textId="77777777" w:rsidR="00CD1EFA" w:rsidRPr="00577C72" w:rsidRDefault="00CD1EFA" w:rsidP="00CD1EFA">
      <w:pPr>
        <w:jc w:val="both"/>
        <w:rPr>
          <w:szCs w:val="24"/>
        </w:rPr>
      </w:pPr>
      <w:r w:rsidRPr="00577C72">
        <w:rPr>
          <w:szCs w:val="24"/>
        </w:rPr>
        <w:t>Public Access Counselor</w:t>
      </w:r>
    </w:p>
    <w:p w14:paraId="2716AECD" w14:textId="77777777" w:rsidR="00CD1EFA" w:rsidRPr="00577C72" w:rsidRDefault="00CD1EFA" w:rsidP="00CD1EFA">
      <w:pPr>
        <w:jc w:val="both"/>
        <w:rPr>
          <w:szCs w:val="24"/>
        </w:rPr>
      </w:pPr>
      <w:r w:rsidRPr="00577C72">
        <w:rPr>
          <w:szCs w:val="24"/>
        </w:rPr>
        <w:t>Office of the Attorney General</w:t>
      </w:r>
    </w:p>
    <w:p w14:paraId="2C3CBA00" w14:textId="77777777" w:rsidR="00CD1EFA" w:rsidRPr="00577C72" w:rsidRDefault="00CD1EFA" w:rsidP="00CD1EFA">
      <w:pPr>
        <w:jc w:val="both"/>
        <w:rPr>
          <w:szCs w:val="24"/>
        </w:rPr>
      </w:pPr>
      <w:r w:rsidRPr="00577C72">
        <w:rPr>
          <w:szCs w:val="24"/>
        </w:rPr>
        <w:t>500 South 2</w:t>
      </w:r>
      <w:r w:rsidRPr="00577C72">
        <w:rPr>
          <w:szCs w:val="24"/>
          <w:vertAlign w:val="superscript"/>
        </w:rPr>
        <w:t xml:space="preserve">nd </w:t>
      </w:r>
      <w:r w:rsidRPr="00577C72">
        <w:rPr>
          <w:szCs w:val="24"/>
        </w:rPr>
        <w:t>Street</w:t>
      </w:r>
    </w:p>
    <w:p w14:paraId="30B86F70" w14:textId="77777777" w:rsidR="00CD1EFA" w:rsidRPr="00577C72" w:rsidRDefault="00CD1EFA" w:rsidP="00CD1EFA">
      <w:pPr>
        <w:jc w:val="both"/>
        <w:rPr>
          <w:szCs w:val="24"/>
        </w:rPr>
      </w:pPr>
      <w:r w:rsidRPr="00577C72">
        <w:rPr>
          <w:szCs w:val="24"/>
        </w:rPr>
        <w:t>Springfield, Illinois 62706</w:t>
      </w:r>
    </w:p>
    <w:p w14:paraId="2E97E292" w14:textId="77777777" w:rsidR="00CD1EFA" w:rsidRPr="00577C72" w:rsidRDefault="00CD1EFA" w:rsidP="00CD1EFA">
      <w:pPr>
        <w:jc w:val="both"/>
        <w:rPr>
          <w:szCs w:val="24"/>
        </w:rPr>
      </w:pPr>
      <w:r w:rsidRPr="00577C72">
        <w:rPr>
          <w:szCs w:val="24"/>
        </w:rPr>
        <w:t>Fax: 217-782-1396</w:t>
      </w:r>
    </w:p>
    <w:p w14:paraId="13DBCE70" w14:textId="77777777" w:rsidR="00CD1EFA" w:rsidRDefault="00CD1EFA" w:rsidP="00CD1EFA">
      <w:pPr>
        <w:jc w:val="both"/>
      </w:pPr>
      <w:r w:rsidRPr="00577C72">
        <w:rPr>
          <w:szCs w:val="24"/>
        </w:rPr>
        <w:t xml:space="preserve">E-mail: </w:t>
      </w:r>
      <w:hyperlink r:id="rId9" w:history="1">
        <w:r w:rsidRPr="008D3E9F">
          <w:rPr>
            <w:rStyle w:val="Hyperlink"/>
          </w:rPr>
          <w:t>public.access@ilag.gov</w:t>
        </w:r>
      </w:hyperlink>
    </w:p>
    <w:p w14:paraId="728B5888" w14:textId="77777777" w:rsidR="00CD1EFA" w:rsidRPr="00577C72" w:rsidRDefault="00CD1EFA" w:rsidP="00CD1EFA">
      <w:pPr>
        <w:jc w:val="both"/>
        <w:rPr>
          <w:szCs w:val="24"/>
        </w:rPr>
      </w:pPr>
    </w:p>
    <w:p w14:paraId="66D03BEF" w14:textId="633CE4FD" w:rsidR="00CD1EFA" w:rsidRDefault="00CD1EFA" w:rsidP="00CD1EFA">
      <w:pPr>
        <w:pStyle w:val="BodyText"/>
        <w:spacing w:after="0"/>
        <w:jc w:val="both"/>
        <w:rPr>
          <w:szCs w:val="24"/>
        </w:rPr>
      </w:pPr>
      <w:r>
        <w:rPr>
          <w:szCs w:val="24"/>
        </w:rPr>
        <w:lastRenderedPageBreak/>
        <w:t xml:space="preserve">As such, the ROE extends you the opportunity to narrow your FOIA Request. Please contact me at </w:t>
      </w:r>
      <w:hyperlink r:id="rId10" w:history="1">
        <w:r w:rsidR="004E3F97" w:rsidRPr="00C50A55">
          <w:rPr>
            <w:rStyle w:val="Hyperlink"/>
            <w:szCs w:val="24"/>
          </w:rPr>
          <w:t>vasilikos@fenton100.org</w:t>
        </w:r>
      </w:hyperlink>
      <w:r>
        <w:rPr>
          <w:szCs w:val="24"/>
        </w:rPr>
        <w:t xml:space="preserve"> to let me know whether you are willing to further narrow your request.  </w:t>
      </w:r>
    </w:p>
    <w:p w14:paraId="4F325A2D" w14:textId="77777777" w:rsidR="00CD1EFA" w:rsidRPr="00DF0DA1" w:rsidRDefault="00CD1EFA" w:rsidP="00CD1EFA">
      <w:pPr>
        <w:autoSpaceDE w:val="0"/>
        <w:autoSpaceDN w:val="0"/>
        <w:adjustRightInd w:val="0"/>
        <w:jc w:val="both"/>
        <w:rPr>
          <w:szCs w:val="24"/>
        </w:rPr>
      </w:pPr>
    </w:p>
    <w:p w14:paraId="59BA4743" w14:textId="77777777" w:rsidR="00CD1EFA" w:rsidRPr="00DF0DA1" w:rsidRDefault="00CD1EFA" w:rsidP="00CD1EFA">
      <w:pPr>
        <w:autoSpaceDE w:val="0"/>
        <w:autoSpaceDN w:val="0"/>
        <w:adjustRightInd w:val="0"/>
        <w:jc w:val="both"/>
        <w:rPr>
          <w:szCs w:val="24"/>
        </w:rPr>
      </w:pPr>
      <w:r w:rsidRPr="00DF0DA1">
        <w:rPr>
          <w:szCs w:val="24"/>
        </w:rPr>
        <w:t>Sincerely,</w:t>
      </w:r>
    </w:p>
    <w:p w14:paraId="5A4CCA27" w14:textId="77777777" w:rsidR="00CD1EFA" w:rsidRPr="00DF0DA1" w:rsidRDefault="00CD1EFA" w:rsidP="00CD1EFA">
      <w:pPr>
        <w:autoSpaceDE w:val="0"/>
        <w:autoSpaceDN w:val="0"/>
        <w:adjustRightInd w:val="0"/>
        <w:jc w:val="both"/>
        <w:rPr>
          <w:szCs w:val="24"/>
        </w:rPr>
      </w:pPr>
    </w:p>
    <w:p w14:paraId="4EF41AD3" w14:textId="77777777" w:rsidR="00CD1EFA" w:rsidRPr="00DF0DA1" w:rsidRDefault="00CD1EFA" w:rsidP="00CD1EFA">
      <w:pPr>
        <w:autoSpaceDE w:val="0"/>
        <w:autoSpaceDN w:val="0"/>
        <w:adjustRightInd w:val="0"/>
        <w:jc w:val="both"/>
        <w:rPr>
          <w:szCs w:val="24"/>
        </w:rPr>
      </w:pPr>
      <w:r w:rsidRPr="00DF0DA1">
        <w:rPr>
          <w:szCs w:val="24"/>
        </w:rPr>
        <w:t>Keren Vasilikos</w:t>
      </w:r>
    </w:p>
    <w:p w14:paraId="05B5F6A2" w14:textId="77777777" w:rsidR="00CD1EFA" w:rsidRPr="00DF0DA1" w:rsidRDefault="00CD1EFA" w:rsidP="00CD1EFA">
      <w:pPr>
        <w:autoSpaceDE w:val="0"/>
        <w:autoSpaceDN w:val="0"/>
        <w:adjustRightInd w:val="0"/>
        <w:jc w:val="both"/>
        <w:rPr>
          <w:szCs w:val="24"/>
        </w:rPr>
      </w:pPr>
      <w:r w:rsidRPr="00DF0DA1">
        <w:rPr>
          <w:szCs w:val="24"/>
        </w:rPr>
        <w:t xml:space="preserve">Executive Assistant of the Superintendent of the Board of Education &amp; FOIA Officer </w:t>
      </w:r>
    </w:p>
    <w:p w14:paraId="30C3607F" w14:textId="77777777" w:rsidR="00CD1EFA" w:rsidRPr="00DF0DA1" w:rsidRDefault="00CD1EFA" w:rsidP="00CD1EFA">
      <w:pPr>
        <w:jc w:val="both"/>
        <w:rPr>
          <w:szCs w:val="24"/>
        </w:rPr>
      </w:pPr>
    </w:p>
    <w:p w14:paraId="5259B217" w14:textId="77777777" w:rsidR="00CD1EFA" w:rsidRPr="00DF0DA1" w:rsidRDefault="00CD1EFA" w:rsidP="00CD1EFA">
      <w:pPr>
        <w:jc w:val="both"/>
        <w:rPr>
          <w:szCs w:val="24"/>
        </w:rPr>
      </w:pPr>
      <w:r w:rsidRPr="00DF0DA1">
        <w:rPr>
          <w:szCs w:val="24"/>
        </w:rPr>
        <w:t xml:space="preserve">cc. </w:t>
      </w:r>
      <w:bookmarkStart w:id="1" w:name="_Hlk161753414"/>
      <w:r w:rsidRPr="00DF0DA1">
        <w:rPr>
          <w:szCs w:val="24"/>
        </w:rPr>
        <w:t xml:space="preserve"> </w:t>
      </w:r>
      <w:r w:rsidRPr="00DF0DA1">
        <w:rPr>
          <w:szCs w:val="24"/>
        </w:rPr>
        <w:tab/>
        <w:t>Mr. Samuel Bentsen, Ed.D., Interim Superintendent</w:t>
      </w:r>
    </w:p>
    <w:p w14:paraId="561200E9" w14:textId="77777777" w:rsidR="00CD1EFA" w:rsidRPr="00DF0DA1" w:rsidRDefault="00CD1EFA" w:rsidP="00CD1EFA">
      <w:pPr>
        <w:jc w:val="both"/>
        <w:rPr>
          <w:szCs w:val="24"/>
        </w:rPr>
      </w:pPr>
      <w:r w:rsidRPr="00DF0DA1">
        <w:rPr>
          <w:szCs w:val="24"/>
        </w:rPr>
        <w:tab/>
        <w:t>Mr. Thomas Melody, School District Attorney</w:t>
      </w:r>
    </w:p>
    <w:bookmarkEnd w:id="1"/>
    <w:p w14:paraId="4977925B" w14:textId="77777777" w:rsidR="006073B9" w:rsidRDefault="006073B9"/>
    <w:sectPr w:rsidR="006073B9">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83A572" w14:textId="77777777" w:rsidR="00B96495" w:rsidRDefault="00B96495" w:rsidP="009403DC">
      <w:r>
        <w:separator/>
      </w:r>
    </w:p>
  </w:endnote>
  <w:endnote w:type="continuationSeparator" w:id="0">
    <w:p w14:paraId="5AA8C0BA" w14:textId="77777777" w:rsidR="00B96495" w:rsidRDefault="00B96495" w:rsidP="009403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24215" w14:textId="77777777" w:rsidR="009403DC" w:rsidRDefault="009403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2661AD" w14:textId="77777777" w:rsidR="009403DC" w:rsidRDefault="009403DC">
    <w:pPr>
      <w:pStyle w:val="Footer"/>
    </w:pPr>
  </w:p>
  <w:p w14:paraId="38B0589F" w14:textId="41954DE2" w:rsidR="009403DC" w:rsidRDefault="00B96495" w:rsidP="009403DC">
    <w:pPr>
      <w:pStyle w:val="Footer"/>
    </w:pPr>
    <w:r>
      <w:fldChar w:fldCharType="begin"/>
    </w:r>
    <w:r>
      <w:instrText xml:space="preserve"> DOCPROPERTY iManageFooter \* MERGEFORMAT </w:instrText>
    </w:r>
    <w:r>
      <w:fldChar w:fldCharType="separate"/>
    </w:r>
    <w:r w:rsidR="009403DC" w:rsidRPr="009403DC">
      <w:rPr>
        <w:sz w:val="16"/>
      </w:rPr>
      <w:t>2071073_1</w:t>
    </w:r>
    <w:r>
      <w:rPr>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CFAA0" w14:textId="77777777" w:rsidR="009403DC" w:rsidRDefault="009403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3117B" w14:textId="77777777" w:rsidR="00B96495" w:rsidRDefault="00B96495" w:rsidP="009403DC">
      <w:r>
        <w:separator/>
      </w:r>
    </w:p>
  </w:footnote>
  <w:footnote w:type="continuationSeparator" w:id="0">
    <w:p w14:paraId="5182C9DD" w14:textId="77777777" w:rsidR="00B96495" w:rsidRDefault="00B96495" w:rsidP="009403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7DFA1C" w14:textId="77777777" w:rsidR="009403DC" w:rsidRDefault="009403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4A4828" w14:textId="77777777" w:rsidR="009403DC" w:rsidRDefault="009403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F59660" w14:textId="77777777" w:rsidR="009403DC" w:rsidRDefault="009403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C440BD"/>
    <w:multiLevelType w:val="hybridMultilevel"/>
    <w:tmpl w:val="8EEED7D8"/>
    <w:lvl w:ilvl="0" w:tplc="0AA6DD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EFA"/>
    <w:rsid w:val="000E70C0"/>
    <w:rsid w:val="00180D8E"/>
    <w:rsid w:val="004E3F97"/>
    <w:rsid w:val="006073B9"/>
    <w:rsid w:val="007E1F50"/>
    <w:rsid w:val="009403DC"/>
    <w:rsid w:val="00AB56A6"/>
    <w:rsid w:val="00B96495"/>
    <w:rsid w:val="00CD1EFA"/>
    <w:rsid w:val="00D043A3"/>
    <w:rsid w:val="00D41B2D"/>
    <w:rsid w:val="00F130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18049"/>
  <w15:chartTrackingRefBased/>
  <w15:docId w15:val="{7A635C31-7ED5-4B77-9F2E-A30FFDACF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1EFA"/>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CD1E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1E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1EF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1EF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1EF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1EF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1EF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1EF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1EF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1EF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1EF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1EF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1EF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1EF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1EF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1EF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1EF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1EFA"/>
    <w:rPr>
      <w:rFonts w:eastAsiaTheme="majorEastAsia" w:cstheme="majorBidi"/>
      <w:color w:val="272727" w:themeColor="text1" w:themeTint="D8"/>
    </w:rPr>
  </w:style>
  <w:style w:type="paragraph" w:styleId="Title">
    <w:name w:val="Title"/>
    <w:basedOn w:val="Normal"/>
    <w:next w:val="Normal"/>
    <w:link w:val="TitleChar"/>
    <w:uiPriority w:val="10"/>
    <w:qFormat/>
    <w:rsid w:val="00CD1EF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1EF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1EF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1EF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1EFA"/>
    <w:pPr>
      <w:spacing w:before="160"/>
      <w:jc w:val="center"/>
    </w:pPr>
    <w:rPr>
      <w:i/>
      <w:iCs/>
      <w:color w:val="404040" w:themeColor="text1" w:themeTint="BF"/>
    </w:rPr>
  </w:style>
  <w:style w:type="character" w:customStyle="1" w:styleId="QuoteChar">
    <w:name w:val="Quote Char"/>
    <w:basedOn w:val="DefaultParagraphFont"/>
    <w:link w:val="Quote"/>
    <w:uiPriority w:val="29"/>
    <w:rsid w:val="00CD1EFA"/>
    <w:rPr>
      <w:i/>
      <w:iCs/>
      <w:color w:val="404040" w:themeColor="text1" w:themeTint="BF"/>
    </w:rPr>
  </w:style>
  <w:style w:type="paragraph" w:styleId="ListParagraph">
    <w:name w:val="List Paragraph"/>
    <w:basedOn w:val="Normal"/>
    <w:uiPriority w:val="34"/>
    <w:qFormat/>
    <w:rsid w:val="00CD1EFA"/>
    <w:pPr>
      <w:ind w:left="720"/>
      <w:contextualSpacing/>
    </w:pPr>
  </w:style>
  <w:style w:type="character" w:styleId="IntenseEmphasis">
    <w:name w:val="Intense Emphasis"/>
    <w:basedOn w:val="DefaultParagraphFont"/>
    <w:uiPriority w:val="21"/>
    <w:qFormat/>
    <w:rsid w:val="00CD1EFA"/>
    <w:rPr>
      <w:i/>
      <w:iCs/>
      <w:color w:val="0F4761" w:themeColor="accent1" w:themeShade="BF"/>
    </w:rPr>
  </w:style>
  <w:style w:type="paragraph" w:styleId="IntenseQuote">
    <w:name w:val="Intense Quote"/>
    <w:basedOn w:val="Normal"/>
    <w:next w:val="Normal"/>
    <w:link w:val="IntenseQuoteChar"/>
    <w:uiPriority w:val="30"/>
    <w:qFormat/>
    <w:rsid w:val="00CD1E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1EFA"/>
    <w:rPr>
      <w:i/>
      <w:iCs/>
      <w:color w:val="0F4761" w:themeColor="accent1" w:themeShade="BF"/>
    </w:rPr>
  </w:style>
  <w:style w:type="character" w:styleId="IntenseReference">
    <w:name w:val="Intense Reference"/>
    <w:basedOn w:val="DefaultParagraphFont"/>
    <w:uiPriority w:val="32"/>
    <w:qFormat/>
    <w:rsid w:val="00CD1EFA"/>
    <w:rPr>
      <w:b/>
      <w:bCs/>
      <w:smallCaps/>
      <w:color w:val="0F4761" w:themeColor="accent1" w:themeShade="BF"/>
      <w:spacing w:val="5"/>
    </w:rPr>
  </w:style>
  <w:style w:type="paragraph" w:styleId="BodyText">
    <w:name w:val="Body Text"/>
    <w:basedOn w:val="Normal"/>
    <w:link w:val="BodyTextChar"/>
    <w:unhideWhenUsed/>
    <w:rsid w:val="00CD1EFA"/>
    <w:pPr>
      <w:spacing w:after="120"/>
    </w:pPr>
  </w:style>
  <w:style w:type="character" w:customStyle="1" w:styleId="BodyTextChar">
    <w:name w:val="Body Text Char"/>
    <w:basedOn w:val="DefaultParagraphFont"/>
    <w:link w:val="BodyText"/>
    <w:rsid w:val="00CD1EFA"/>
    <w:rPr>
      <w:rFonts w:ascii="Times New Roman" w:eastAsia="Times New Roman" w:hAnsi="Times New Roman" w:cs="Times New Roman"/>
      <w:kern w:val="0"/>
      <w:szCs w:val="20"/>
      <w14:ligatures w14:val="none"/>
    </w:rPr>
  </w:style>
  <w:style w:type="character" w:styleId="Hyperlink">
    <w:name w:val="Hyperlink"/>
    <w:uiPriority w:val="99"/>
    <w:rsid w:val="00CD1EFA"/>
    <w:rPr>
      <w:color w:val="0000FF"/>
      <w:u w:val="single"/>
    </w:rPr>
  </w:style>
  <w:style w:type="character" w:styleId="UnresolvedMention">
    <w:name w:val="Unresolved Mention"/>
    <w:basedOn w:val="DefaultParagraphFont"/>
    <w:uiPriority w:val="99"/>
    <w:semiHidden/>
    <w:unhideWhenUsed/>
    <w:rsid w:val="00CD1EFA"/>
    <w:rPr>
      <w:color w:val="605E5C"/>
      <w:shd w:val="clear" w:color="auto" w:fill="E1DFDD"/>
    </w:rPr>
  </w:style>
  <w:style w:type="paragraph" w:styleId="NormalWeb">
    <w:name w:val="Normal (Web)"/>
    <w:basedOn w:val="Normal"/>
    <w:uiPriority w:val="99"/>
    <w:unhideWhenUsed/>
    <w:rsid w:val="00CD1EFA"/>
    <w:pPr>
      <w:spacing w:before="100" w:beforeAutospacing="1" w:after="100" w:afterAutospacing="1"/>
    </w:pPr>
    <w:rPr>
      <w:rFonts w:ascii="Aptos" w:eastAsiaTheme="minorHAnsi" w:hAnsi="Aptos" w:cs="Aptos"/>
      <w:szCs w:val="24"/>
    </w:rPr>
  </w:style>
  <w:style w:type="paragraph" w:styleId="Header">
    <w:name w:val="header"/>
    <w:basedOn w:val="Normal"/>
    <w:link w:val="HeaderChar"/>
    <w:uiPriority w:val="99"/>
    <w:unhideWhenUsed/>
    <w:rsid w:val="009403DC"/>
    <w:pPr>
      <w:tabs>
        <w:tab w:val="center" w:pos="4680"/>
        <w:tab w:val="right" w:pos="9360"/>
      </w:tabs>
    </w:pPr>
  </w:style>
  <w:style w:type="character" w:customStyle="1" w:styleId="HeaderChar">
    <w:name w:val="Header Char"/>
    <w:basedOn w:val="DefaultParagraphFont"/>
    <w:link w:val="Header"/>
    <w:uiPriority w:val="99"/>
    <w:rsid w:val="009403DC"/>
    <w:rPr>
      <w:rFonts w:ascii="Times New Roman" w:eastAsia="Times New Roman" w:hAnsi="Times New Roman" w:cs="Times New Roman"/>
      <w:kern w:val="0"/>
      <w:szCs w:val="20"/>
      <w14:ligatures w14:val="none"/>
    </w:rPr>
  </w:style>
  <w:style w:type="paragraph" w:styleId="Footer">
    <w:name w:val="footer"/>
    <w:basedOn w:val="Normal"/>
    <w:link w:val="FooterChar"/>
    <w:uiPriority w:val="99"/>
    <w:unhideWhenUsed/>
    <w:rsid w:val="009403DC"/>
    <w:pPr>
      <w:tabs>
        <w:tab w:val="center" w:pos="4680"/>
        <w:tab w:val="right" w:pos="9360"/>
      </w:tabs>
    </w:pPr>
  </w:style>
  <w:style w:type="character" w:customStyle="1" w:styleId="FooterChar">
    <w:name w:val="Footer Char"/>
    <w:basedOn w:val="DefaultParagraphFont"/>
    <w:link w:val="Footer"/>
    <w:uiPriority w:val="99"/>
    <w:rsid w:val="009403DC"/>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tect.checkpoint.com/v2/r01/___https:/www.flocksafety.com___.YzJ1OmtsZWludGhvcnBlamVua2luczE6YzpvOjg2ZTNlN2RkMzc1OTYxNjU2NWMzMTBiMDI3YTgwYzNjOjc6M2ZkMjoxNzMzZDI1ZTc2NDY0YWI1NGU3ZTQyM2QwYmI5ODllYTQzN2NlNDhkYWNlZjI0MDIzN2U1OThiZWY4ZjQwZDQyOmg6VDpG"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195122-54077679@requests.muckrock.com"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mailto:vasilikos@fenton100.org" TargetMode="External"/><Relationship Id="rId4" Type="http://schemas.openxmlformats.org/officeDocument/2006/relationships/webSettings" Target="webSettings.xml"/><Relationship Id="rId9" Type="http://schemas.openxmlformats.org/officeDocument/2006/relationships/hyperlink" Target="mailto:public.access@ilag.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791</Words>
  <Characters>4509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Kaylee M. Hartman</dc:creator>
  <cp:keywords/>
  <dc:description/>
  <cp:lastModifiedBy>Vasilikos,Keren</cp:lastModifiedBy>
  <cp:revision>2</cp:revision>
  <dcterms:created xsi:type="dcterms:W3CDTF">2025-10-30T17:43:00Z</dcterms:created>
  <dcterms:modified xsi:type="dcterms:W3CDTF">2025-10-30T17:43:00Z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Footer">
    <vt:lpwstr>2071073_1</vt:lpwstr>
  </property>
</Properties>
</file>